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0" w:rsidRPr="003B4FE0" w:rsidRDefault="003B4FE0" w:rsidP="003B4FE0">
      <w:pPr>
        <w:pStyle w:val="Default"/>
      </w:pPr>
      <w:r>
        <w:t>Boganmeldelse af s</w:t>
      </w:r>
      <w:r>
        <w:t>ogne- og hospitalspræst Karsten Flemming Thomsen</w:t>
      </w:r>
      <w:r>
        <w:t>:</w:t>
      </w:r>
    </w:p>
    <w:p w:rsidR="003B4FE0" w:rsidRDefault="003B4FE0" w:rsidP="00AC61BA">
      <w:pPr>
        <w:pStyle w:val="Default"/>
      </w:pPr>
    </w:p>
    <w:p w:rsidR="003B4FE0" w:rsidRDefault="003B4FE0" w:rsidP="00AC61BA">
      <w:pPr>
        <w:pStyle w:val="Default"/>
      </w:pPr>
    </w:p>
    <w:p w:rsidR="00AC61BA" w:rsidRPr="003B4FE0" w:rsidRDefault="00AC61BA" w:rsidP="00AC61BA">
      <w:pPr>
        <w:pStyle w:val="Default"/>
        <w:rPr>
          <w:b/>
          <w:bCs/>
          <w:sz w:val="28"/>
          <w:szCs w:val="28"/>
        </w:rPr>
      </w:pPr>
      <w:r w:rsidRPr="003B4FE0">
        <w:rPr>
          <w:b/>
          <w:bCs/>
          <w:sz w:val="28"/>
          <w:szCs w:val="28"/>
        </w:rPr>
        <w:t>Brønshøj-prædik</w:t>
      </w:r>
      <w:r w:rsidR="00234BA0" w:rsidRPr="003B4FE0">
        <w:rPr>
          <w:b/>
          <w:bCs/>
          <w:sz w:val="28"/>
          <w:szCs w:val="28"/>
        </w:rPr>
        <w:t>e</w:t>
      </w:r>
      <w:r w:rsidRPr="003B4FE0">
        <w:rPr>
          <w:b/>
          <w:bCs/>
          <w:sz w:val="28"/>
          <w:szCs w:val="28"/>
        </w:rPr>
        <w:t>ner!</w:t>
      </w:r>
    </w:p>
    <w:p w:rsidR="00A30BAC" w:rsidRDefault="00A30BAC" w:rsidP="00AC61BA">
      <w:pPr>
        <w:pStyle w:val="Default"/>
      </w:pPr>
    </w:p>
    <w:p w:rsidR="00234BA0" w:rsidRDefault="00AC61BA" w:rsidP="005E6B03">
      <w:pPr>
        <w:pStyle w:val="Default"/>
      </w:pPr>
      <w:r>
        <w:t>For de af os der kender Niels Brønnum og indimellem indfandt os under hans prædikestol, var det et chok at</w:t>
      </w:r>
      <w:bookmarkStart w:id="0" w:name="_GoBack"/>
      <w:bookmarkEnd w:id="0"/>
      <w:r>
        <w:t xml:space="preserve"> opleve hvordan han forsvandt fra dag til anden. </w:t>
      </w:r>
    </w:p>
    <w:p w:rsidR="00234BA0" w:rsidRDefault="00AC61BA" w:rsidP="005E6B03">
      <w:pPr>
        <w:pStyle w:val="Default"/>
      </w:pPr>
      <w:r>
        <w:t xml:space="preserve">Det virkede ikke rigtigt på os, at en så livsglad og livsklog mand </w:t>
      </w:r>
      <w:r w:rsidR="005E6B03">
        <w:t xml:space="preserve">- med </w:t>
      </w:r>
      <w:r>
        <w:t xml:space="preserve">sin helt egen umiskendelige </w:t>
      </w:r>
      <w:r w:rsidR="005E6B03">
        <w:t xml:space="preserve">personlige </w:t>
      </w:r>
      <w:r>
        <w:t xml:space="preserve">stil – også i sine prædikener – så pludseligt holdt op med at arbejde som præst i Brønshøj. </w:t>
      </w:r>
    </w:p>
    <w:p w:rsidR="00A30BAC" w:rsidRDefault="00A30BAC" w:rsidP="005E6B03">
      <w:pPr>
        <w:pStyle w:val="Default"/>
      </w:pPr>
    </w:p>
    <w:p w:rsidR="00AC61BA" w:rsidRDefault="00AC61BA" w:rsidP="00234BA0">
      <w:pPr>
        <w:pStyle w:val="Default"/>
      </w:pPr>
      <w:r>
        <w:t>Det skyldtes naturligvis faktorer som Niels Brønnum ikke selv var herre over - sygdom er hver mands herre, som man siger - og ikke en ulyst til at arbejde som præst i Brønshøj.</w:t>
      </w:r>
      <w:r w:rsidR="005E6B03">
        <w:t xml:space="preserve"> Snarere tvært i mod. For Niels havde meget på hjerte.</w:t>
      </w:r>
    </w:p>
    <w:p w:rsidR="00A30BAC" w:rsidRDefault="00A30BAC" w:rsidP="00234BA0">
      <w:pPr>
        <w:pStyle w:val="Default"/>
      </w:pPr>
    </w:p>
    <w:p w:rsidR="00A30BAC" w:rsidRDefault="00AC61BA" w:rsidP="00A30BAC">
      <w:pPr>
        <w:pStyle w:val="Default"/>
      </w:pPr>
      <w:r>
        <w:t>Nu får vi chancen for at lægge øre til Niels’ prædikener igen: I en lille</w:t>
      </w:r>
      <w:r w:rsidR="005E6B03">
        <w:t xml:space="preserve"> og uprætentiøs </w:t>
      </w:r>
      <w:r>
        <w:t>bog ”Brønshøjprædik</w:t>
      </w:r>
      <w:r w:rsidR="00234BA0">
        <w:t>e</w:t>
      </w:r>
      <w:r>
        <w:t>ner” er der samlet en række, helt nøjagtigt 21, af Niels Brønnums prædikener. Og det er en svir at lægge øre til</w:t>
      </w:r>
      <w:r w:rsidR="00234BA0">
        <w:t xml:space="preserve"> Brønnum</w:t>
      </w:r>
      <w:r>
        <w:t>.</w:t>
      </w:r>
      <w:r w:rsidR="005E6B03">
        <w:t xml:space="preserve"> </w:t>
      </w:r>
      <w:r>
        <w:t xml:space="preserve">Undertegnede </w:t>
      </w:r>
      <w:r w:rsidR="00F011CA">
        <w:t xml:space="preserve">læste dem på en aften </w:t>
      </w:r>
      <w:r>
        <w:t xml:space="preserve">- og </w:t>
      </w:r>
      <w:r w:rsidR="00A30BAC">
        <w:t>læste dem så igen, f</w:t>
      </w:r>
      <w:r w:rsidR="00234BA0">
        <w:t xml:space="preserve">or </w:t>
      </w:r>
      <w:r>
        <w:t>nogle af prædikernes vedkommende</w:t>
      </w:r>
      <w:r w:rsidR="00A30BAC">
        <w:t>.</w:t>
      </w:r>
    </w:p>
    <w:p w:rsidR="00F011CA" w:rsidRDefault="00A30BAC" w:rsidP="00A30BAC">
      <w:pPr>
        <w:pStyle w:val="Default"/>
      </w:pPr>
      <w:r>
        <w:t>Prædikenerne fremstår</w:t>
      </w:r>
      <w:r w:rsidR="00F011CA">
        <w:t xml:space="preserve"> </w:t>
      </w:r>
      <w:r w:rsidR="00AC61BA">
        <w:t>letforståelige</w:t>
      </w:r>
      <w:r w:rsidR="0070030F">
        <w:t xml:space="preserve"> og </w:t>
      </w:r>
      <w:r w:rsidR="00AC61BA">
        <w:t>afvekslende</w:t>
      </w:r>
      <w:r>
        <w:t>,</w:t>
      </w:r>
      <w:r w:rsidR="00AC61BA">
        <w:t xml:space="preserve"> </w:t>
      </w:r>
      <w:r w:rsidR="005E6B03">
        <w:t xml:space="preserve">skrevet </w:t>
      </w:r>
      <w:r w:rsidR="00234BA0">
        <w:t>i</w:t>
      </w:r>
      <w:r w:rsidR="0088325A">
        <w:t xml:space="preserve"> de</w:t>
      </w:r>
      <w:r w:rsidR="00F011CA">
        <w:t xml:space="preserve">n </w:t>
      </w:r>
      <w:r w:rsidR="0088325A">
        <w:t>stil</w:t>
      </w:r>
      <w:r w:rsidR="00F011CA">
        <w:t xml:space="preserve"> </w:t>
      </w:r>
      <w:r w:rsidR="00AC61BA">
        <w:t>som Niels gennem årene havde tilegnet sig:</w:t>
      </w:r>
      <w:r w:rsidR="0070030F">
        <w:t xml:space="preserve"> Her er sproglig dynamik</w:t>
      </w:r>
      <w:r w:rsidR="005E6B03">
        <w:t xml:space="preserve"> og </w:t>
      </w:r>
      <w:r w:rsidR="00234BA0">
        <w:t xml:space="preserve">fornøjelig </w:t>
      </w:r>
      <w:r w:rsidR="0088325A">
        <w:t>ord</w:t>
      </w:r>
      <w:r w:rsidR="005E6B03">
        <w:t>ekvilibrisme</w:t>
      </w:r>
      <w:r w:rsidR="0070030F">
        <w:t xml:space="preserve">, </w:t>
      </w:r>
      <w:r w:rsidR="005E6B03">
        <w:t xml:space="preserve">her er </w:t>
      </w:r>
      <w:r w:rsidR="0070030F">
        <w:t>gode historier</w:t>
      </w:r>
      <w:r w:rsidR="005E6B03">
        <w:t xml:space="preserve"> og </w:t>
      </w:r>
      <w:r w:rsidR="0070030F">
        <w:t>underfundige bemærkninger</w:t>
      </w:r>
      <w:r w:rsidR="0088325A">
        <w:t>, altsammen</w:t>
      </w:r>
      <w:r w:rsidR="0070030F">
        <w:t xml:space="preserve"> </w:t>
      </w:r>
      <w:r w:rsidR="005E6B03">
        <w:t>krydret med en god portion menneske</w:t>
      </w:r>
      <w:r w:rsidR="0088325A">
        <w:t>kundskab og l</w:t>
      </w:r>
      <w:r w:rsidR="0070030F">
        <w:t>ivsvisdom</w:t>
      </w:r>
      <w:r w:rsidR="005E6B03">
        <w:t>.</w:t>
      </w:r>
    </w:p>
    <w:p w:rsidR="00A30BAC" w:rsidRDefault="00A30BAC" w:rsidP="00A30BAC">
      <w:pPr>
        <w:pStyle w:val="Default"/>
      </w:pPr>
    </w:p>
    <w:p w:rsidR="00A30BAC" w:rsidRDefault="005E6B03" w:rsidP="00F011CA">
      <w:pPr>
        <w:pStyle w:val="Default"/>
      </w:pPr>
      <w:r>
        <w:t>M</w:t>
      </w:r>
      <w:r w:rsidR="0070030F">
        <w:t xml:space="preserve">en </w:t>
      </w:r>
      <w:r>
        <w:t xml:space="preserve">her </w:t>
      </w:r>
      <w:r w:rsidR="00F011CA">
        <w:t xml:space="preserve">er </w:t>
      </w:r>
      <w:r w:rsidR="0070030F">
        <w:t>fremfor alt en teologi</w:t>
      </w:r>
      <w:r w:rsidR="00A30BAC">
        <w:t>,</w:t>
      </w:r>
      <w:r w:rsidR="0070030F">
        <w:t xml:space="preserve"> jeg mest af alt har lyst til at betegne som ”gammel-grundtvigsk”. Og hvad er så det</w:t>
      </w:r>
      <w:r>
        <w:t>?</w:t>
      </w:r>
    </w:p>
    <w:p w:rsidR="00F011CA" w:rsidRDefault="0070030F" w:rsidP="00F011CA">
      <w:pPr>
        <w:pStyle w:val="Default"/>
      </w:pPr>
      <w:r>
        <w:t xml:space="preserve"> </w:t>
      </w:r>
    </w:p>
    <w:p w:rsidR="00A30BAC" w:rsidRDefault="0070030F" w:rsidP="00A30BAC">
      <w:pPr>
        <w:pStyle w:val="Default"/>
      </w:pPr>
      <w:r>
        <w:t xml:space="preserve">Jo, </w:t>
      </w:r>
      <w:r w:rsidR="00F011CA">
        <w:t>det kommer jeg til: I</w:t>
      </w:r>
      <w:r>
        <w:t xml:space="preserve"> tilfældet Niels Brønnum synes jeg</w:t>
      </w:r>
      <w:r w:rsidR="00234BA0">
        <w:t xml:space="preserve"> nemlig, </w:t>
      </w:r>
      <w:r>
        <w:t xml:space="preserve">at prædikantens respekt for sine tilhørere er </w:t>
      </w:r>
      <w:r w:rsidR="00F011CA">
        <w:t>fremtrædende</w:t>
      </w:r>
      <w:r w:rsidR="00234BA0">
        <w:t xml:space="preserve"> </w:t>
      </w:r>
      <w:r w:rsidR="00A30BAC">
        <w:t xml:space="preserve">og </w:t>
      </w:r>
      <w:r w:rsidR="00234BA0">
        <w:t xml:space="preserve">fortjener </w:t>
      </w:r>
      <w:r w:rsidR="00A30BAC">
        <w:t xml:space="preserve">en særlig </w:t>
      </w:r>
      <w:r w:rsidR="00234BA0">
        <w:t>opmærksomhed</w:t>
      </w:r>
      <w:r>
        <w:t>.</w:t>
      </w:r>
    </w:p>
    <w:p w:rsidR="00234BA0" w:rsidRDefault="0041069A" w:rsidP="00234BA0">
      <w:pPr>
        <w:pStyle w:val="Default"/>
      </w:pPr>
      <w:r>
        <w:t>D</w:t>
      </w:r>
      <w:r w:rsidR="0070030F">
        <w:t xml:space="preserve">et </w:t>
      </w:r>
      <w:r w:rsidR="00234BA0">
        <w:t>e</w:t>
      </w:r>
      <w:r>
        <w:t xml:space="preserve">r </w:t>
      </w:r>
      <w:r w:rsidR="0070030F">
        <w:t xml:space="preserve">for Niels altid et fælles anliggende </w:t>
      </w:r>
      <w:r>
        <w:t xml:space="preserve">mellem </w:t>
      </w:r>
      <w:r w:rsidR="0070030F">
        <w:t>præst og menighed</w:t>
      </w:r>
      <w:r w:rsidR="00A30BAC">
        <w:t>, det</w:t>
      </w:r>
      <w:r w:rsidR="0070030F">
        <w:t xml:space="preserve"> at </w:t>
      </w:r>
      <w:r w:rsidR="0088325A">
        <w:t xml:space="preserve">skulle </w:t>
      </w:r>
      <w:r w:rsidR="0070030F">
        <w:t xml:space="preserve">dele sine </w:t>
      </w:r>
      <w:r w:rsidR="00234BA0">
        <w:t>livs</w:t>
      </w:r>
      <w:r w:rsidR="0070030F">
        <w:t xml:space="preserve">erfaringer </w:t>
      </w:r>
      <w:r w:rsidR="00A30BAC">
        <w:t xml:space="preserve">- og vel at mærke </w:t>
      </w:r>
      <w:r w:rsidR="0070030F">
        <w:t xml:space="preserve">på lige fod med hinanden. </w:t>
      </w:r>
      <w:r w:rsidR="005E6B03">
        <w:t>For så at</w:t>
      </w:r>
      <w:r w:rsidR="0070030F">
        <w:t xml:space="preserve"> lade det spejle i tekstgrundlaget den pågældende søndag.</w:t>
      </w:r>
      <w:r>
        <w:t xml:space="preserve"> </w:t>
      </w:r>
    </w:p>
    <w:p w:rsidR="00A30BAC" w:rsidRDefault="00A30BAC" w:rsidP="00234BA0">
      <w:pPr>
        <w:pStyle w:val="Default"/>
      </w:pPr>
    </w:p>
    <w:p w:rsidR="0041069A" w:rsidRDefault="0070030F" w:rsidP="00234BA0">
      <w:pPr>
        <w:pStyle w:val="Default"/>
      </w:pPr>
      <w:r>
        <w:t>Således opstår der i de bedste af Brønnums prædikener en samklang mellem det erfarede liv og den Kristuserfaring – eller Gudsrige</w:t>
      </w:r>
      <w:r w:rsidR="005E6B03">
        <w:t>-</w:t>
      </w:r>
      <w:r>
        <w:t>erfaring</w:t>
      </w:r>
      <w:r w:rsidR="0041069A">
        <w:t>,</w:t>
      </w:r>
      <w:r w:rsidR="005E6B03">
        <w:t xml:space="preserve"> for nu at blive i en kirkelig </w:t>
      </w:r>
      <w:r w:rsidR="0041069A">
        <w:t>sprogbrug</w:t>
      </w:r>
      <w:r>
        <w:t xml:space="preserve">, kald det hvad man vil – som evangelierne </w:t>
      </w:r>
      <w:r w:rsidR="005E6B03">
        <w:t>lægger frem for os gennem kirkeåret.</w:t>
      </w:r>
    </w:p>
    <w:p w:rsidR="00A30BAC" w:rsidRDefault="00A30BAC" w:rsidP="00234BA0">
      <w:pPr>
        <w:pStyle w:val="Default"/>
      </w:pPr>
    </w:p>
    <w:p w:rsidR="00A30BAC" w:rsidRDefault="005E6B03" w:rsidP="00A30BAC">
      <w:pPr>
        <w:pStyle w:val="Default"/>
      </w:pPr>
      <w:r>
        <w:t xml:space="preserve">Og </w:t>
      </w:r>
      <w:r w:rsidR="00A30BAC">
        <w:t>he</w:t>
      </w:r>
      <w:r w:rsidR="0088325A">
        <w:t>r</w:t>
      </w:r>
      <w:r>
        <w:t xml:space="preserve"> er </w:t>
      </w:r>
      <w:r w:rsidR="0041069A">
        <w:t xml:space="preserve">det så, at </w:t>
      </w:r>
      <w:r>
        <w:t xml:space="preserve">det gammel-grundtvigske efter min mening kommer ind: </w:t>
      </w:r>
      <w:r w:rsidR="00234BA0">
        <w:t>F</w:t>
      </w:r>
      <w:r>
        <w:t xml:space="preserve">or det er alt sammen tilsat en lillebitte </w:t>
      </w:r>
      <w:r w:rsidR="00A30BAC">
        <w:t>kniv</w:t>
      </w:r>
      <w:r>
        <w:t>spids af pietisme</w:t>
      </w:r>
      <w:r w:rsidR="00F011CA">
        <w:t xml:space="preserve"> (læs fx prædikenen med overskriften ”Faret Vild”, side 70–74)</w:t>
      </w:r>
      <w:r>
        <w:t xml:space="preserve"> og gammeldags gudsfrygt</w:t>
      </w:r>
      <w:r w:rsidR="00F011CA">
        <w:t xml:space="preserve"> (fx ”Du er Manden”, side 97-104).</w:t>
      </w:r>
    </w:p>
    <w:p w:rsidR="00A30BAC" w:rsidRDefault="005E6B03" w:rsidP="00A30BAC">
      <w:pPr>
        <w:pStyle w:val="Default"/>
      </w:pPr>
      <w:r>
        <w:t>Niels Brønnums personlige historik fornægte</w:t>
      </w:r>
      <w:r w:rsidR="00234BA0">
        <w:t>r</w:t>
      </w:r>
      <w:r>
        <w:t xml:space="preserve"> sig nemlig ikke. Han </w:t>
      </w:r>
      <w:r w:rsidR="0088325A">
        <w:t>e</w:t>
      </w:r>
      <w:r>
        <w:t>r ud af en familie af stærke personligheder, bl</w:t>
      </w:r>
      <w:r w:rsidR="00F011CA">
        <w:t>.</w:t>
      </w:r>
      <w:r>
        <w:t xml:space="preserve">a. </w:t>
      </w:r>
      <w:r w:rsidR="00234BA0">
        <w:t>var</w:t>
      </w:r>
      <w:r>
        <w:t xml:space="preserve"> der </w:t>
      </w:r>
      <w:r w:rsidR="00F011CA">
        <w:t xml:space="preserve">en </w:t>
      </w:r>
      <w:r>
        <w:t>missionærpioner imellem forfædrene.</w:t>
      </w:r>
    </w:p>
    <w:p w:rsidR="0088325A" w:rsidRDefault="0041069A" w:rsidP="00A30BAC">
      <w:pPr>
        <w:pStyle w:val="Default"/>
      </w:pPr>
      <w:r>
        <w:t>Og</w:t>
      </w:r>
      <w:r w:rsidR="0088325A">
        <w:t xml:space="preserve"> teologiens</w:t>
      </w:r>
      <w:r>
        <w:t xml:space="preserve"> h</w:t>
      </w:r>
      <w:r w:rsidR="005E6B03">
        <w:t>jertesprog hang for ham tæt sammen med hans hjertesag: symbiosen mellem levet liv og kristentro.</w:t>
      </w:r>
      <w:r w:rsidR="00F011CA">
        <w:t xml:space="preserve"> </w:t>
      </w:r>
    </w:p>
    <w:p w:rsidR="00A30BAC" w:rsidRDefault="00A30BAC" w:rsidP="005C1B36">
      <w:pPr>
        <w:pStyle w:val="Default"/>
      </w:pPr>
    </w:p>
    <w:p w:rsidR="00A30BAC" w:rsidRDefault="00F011CA" w:rsidP="005C1B36">
      <w:pPr>
        <w:pStyle w:val="Default"/>
      </w:pPr>
      <w:r>
        <w:t xml:space="preserve">På trods af den uprætentiøse fremtoning og det lille omfang i sider, er det ikke desto mindre </w:t>
      </w:r>
      <w:r w:rsidR="0088325A">
        <w:t xml:space="preserve">en </w:t>
      </w:r>
      <w:r>
        <w:t xml:space="preserve">berigende </w:t>
      </w:r>
      <w:r w:rsidR="0088325A">
        <w:t xml:space="preserve">bog at </w:t>
      </w:r>
      <w:r>
        <w:t>læs</w:t>
      </w:r>
      <w:r w:rsidR="0088325A">
        <w:t>e</w:t>
      </w:r>
      <w:r>
        <w:t xml:space="preserve"> og et </w:t>
      </w:r>
      <w:r w:rsidR="0041069A">
        <w:t xml:space="preserve">efterfølgelsesværdigt </w:t>
      </w:r>
      <w:r>
        <w:t>eksempel på hverdagsteologi med bredt vingefang</w:t>
      </w:r>
      <w:r w:rsidR="005D6DE3">
        <w:t xml:space="preserve">. </w:t>
      </w:r>
    </w:p>
    <w:p w:rsidR="00A30BAC" w:rsidRDefault="005D6DE3" w:rsidP="005C1B36">
      <w:pPr>
        <w:pStyle w:val="Default"/>
      </w:pPr>
      <w:r>
        <w:lastRenderedPageBreak/>
        <w:t xml:space="preserve">Vel at mærke </w:t>
      </w:r>
      <w:r w:rsidR="00F011CA">
        <w:t>uden at det</w:t>
      </w:r>
      <w:r w:rsidR="0041069A">
        <w:t xml:space="preserve"> af den grund</w:t>
      </w:r>
      <w:r w:rsidR="00F011CA">
        <w:t xml:space="preserve"> bliver uforståeligt</w:t>
      </w:r>
      <w:r>
        <w:t xml:space="preserve"> selvsmagende</w:t>
      </w:r>
      <w:r w:rsidR="0041069A">
        <w:t xml:space="preserve"> eller </w:t>
      </w:r>
      <w:r w:rsidR="00F011CA">
        <w:t>selvhøjtideligt</w:t>
      </w:r>
      <w:r w:rsidR="0041069A">
        <w:t>.</w:t>
      </w:r>
      <w:r w:rsidR="009F1EDB">
        <w:t xml:space="preserve"> </w:t>
      </w:r>
    </w:p>
    <w:p w:rsidR="00F011CA" w:rsidRDefault="00F011CA" w:rsidP="005C1B36">
      <w:pPr>
        <w:pStyle w:val="Default"/>
      </w:pPr>
      <w:r>
        <w:t>Efter min mening er Niels Brønnum nok værd at gæste – også i denne sammenhæng.</w:t>
      </w:r>
    </w:p>
    <w:p w:rsidR="0041069A" w:rsidRDefault="0041069A" w:rsidP="009F1EDB">
      <w:pPr>
        <w:pStyle w:val="Default"/>
      </w:pPr>
      <w:r>
        <w:t>Bogen kan købes fra 1.september og mon ikk</w:t>
      </w:r>
      <w:r w:rsidR="003B4FE0">
        <w:t xml:space="preserve">e man også kan købe et eksemplar </w:t>
      </w:r>
      <w:r>
        <w:t xml:space="preserve">søndag d.23.11. når der kl. 15 er </w:t>
      </w:r>
      <w:r w:rsidR="003B4FE0">
        <w:t>lejlighed til</w:t>
      </w:r>
      <w:r w:rsidR="009F1EDB">
        <w:t xml:space="preserve"> at komme til udgivelsesarrangement i Brønshøj Sognecenter.</w:t>
      </w:r>
      <w:r>
        <w:t xml:space="preserve"> </w:t>
      </w:r>
    </w:p>
    <w:p w:rsidR="005E6B03" w:rsidRDefault="005E6B03" w:rsidP="005E6B03">
      <w:pPr>
        <w:pStyle w:val="Default"/>
      </w:pPr>
      <w:r>
        <w:t xml:space="preserve">  </w:t>
      </w:r>
    </w:p>
    <w:p w:rsidR="00AC61BA" w:rsidRDefault="00AC61BA" w:rsidP="00AC61BA">
      <w:pPr>
        <w:pStyle w:val="Default"/>
        <w:rPr>
          <w:sz w:val="36"/>
          <w:szCs w:val="36"/>
        </w:rPr>
      </w:pPr>
      <w:r>
        <w:rPr>
          <w:sz w:val="36"/>
          <w:szCs w:val="36"/>
        </w:rPr>
        <w:t>Fakta om bogen</w:t>
      </w:r>
      <w:r w:rsidR="009F1EDB">
        <w:rPr>
          <w:sz w:val="36"/>
          <w:szCs w:val="36"/>
        </w:rPr>
        <w:t>: Brønshøjprædikener</w:t>
      </w:r>
      <w:r>
        <w:rPr>
          <w:sz w:val="36"/>
          <w:szCs w:val="36"/>
        </w:rPr>
        <w:t xml:space="preserve"> </w:t>
      </w:r>
    </w:p>
    <w:p w:rsidR="00AC61BA" w:rsidRDefault="00AC61BA" w:rsidP="00AC61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Sider: 146 </w:t>
      </w:r>
    </w:p>
    <w:p w:rsidR="00AC61BA" w:rsidRDefault="00AC61BA" w:rsidP="00AC61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Pris: kr. 150,- </w:t>
      </w:r>
    </w:p>
    <w:p w:rsidR="00AC61BA" w:rsidRDefault="00AC61BA" w:rsidP="00AC61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ISBN: 978 87 7003 713 6 </w:t>
      </w:r>
    </w:p>
    <w:p w:rsidR="00AC61BA" w:rsidRDefault="00AC61BA" w:rsidP="00AC61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Udkommer: 1. september 2014 </w:t>
      </w:r>
    </w:p>
    <w:p w:rsidR="00AC61BA" w:rsidRDefault="00AC61BA" w:rsidP="00AC61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Forlag: </w:t>
      </w:r>
      <w:proofErr w:type="spellStart"/>
      <w:r>
        <w:rPr>
          <w:sz w:val="22"/>
          <w:szCs w:val="22"/>
        </w:rPr>
        <w:t>Aros</w:t>
      </w:r>
      <w:proofErr w:type="spellEnd"/>
      <w:r>
        <w:rPr>
          <w:sz w:val="22"/>
          <w:szCs w:val="22"/>
        </w:rPr>
        <w:t xml:space="preserve"> </w:t>
      </w:r>
    </w:p>
    <w:p w:rsidR="003B4FE0" w:rsidRDefault="003B4FE0" w:rsidP="00AC61BA">
      <w:pPr>
        <w:pStyle w:val="Default"/>
        <w:rPr>
          <w:sz w:val="22"/>
          <w:szCs w:val="22"/>
        </w:rPr>
      </w:pPr>
    </w:p>
    <w:p w:rsidR="003B4FE0" w:rsidRDefault="003B4FE0" w:rsidP="003B4FE0">
      <w:pPr>
        <w:pStyle w:val="Default"/>
        <w:jc w:val="right"/>
      </w:pPr>
    </w:p>
    <w:sectPr w:rsidR="003B4F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F8"/>
    <w:rsid w:val="00234BA0"/>
    <w:rsid w:val="00276F0E"/>
    <w:rsid w:val="003B4FE0"/>
    <w:rsid w:val="0041069A"/>
    <w:rsid w:val="005C1B36"/>
    <w:rsid w:val="005D6DE3"/>
    <w:rsid w:val="005E6B03"/>
    <w:rsid w:val="0070030F"/>
    <w:rsid w:val="00753DF8"/>
    <w:rsid w:val="0088325A"/>
    <w:rsid w:val="009F1EDB"/>
    <w:rsid w:val="00A12606"/>
    <w:rsid w:val="00A30BAC"/>
    <w:rsid w:val="00AC61BA"/>
    <w:rsid w:val="00F011CA"/>
    <w:rsid w:val="00F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C61BA"/>
    <w:pPr>
      <w:autoSpaceDE w:val="0"/>
      <w:autoSpaceDN w:val="0"/>
      <w:adjustRightInd w:val="0"/>
      <w:spacing w:after="0" w:line="240" w:lineRule="auto"/>
    </w:pPr>
    <w:rPr>
      <w:rFonts w:ascii="Univers 57 Condensed" w:hAnsi="Univers 57 Condensed" w:cs="Univers 57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C61BA"/>
    <w:pPr>
      <w:autoSpaceDE w:val="0"/>
      <w:autoSpaceDN w:val="0"/>
      <w:adjustRightInd w:val="0"/>
      <w:spacing w:after="0" w:line="240" w:lineRule="auto"/>
    </w:pPr>
    <w:rPr>
      <w:rFonts w:ascii="Univers 57 Condensed" w:hAnsi="Univers 57 Condensed" w:cs="Univers 57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Flemming Thomsen</dc:creator>
  <cp:lastModifiedBy>Eva Fryklund</cp:lastModifiedBy>
  <cp:revision>2</cp:revision>
  <dcterms:created xsi:type="dcterms:W3CDTF">2014-11-04T07:51:00Z</dcterms:created>
  <dcterms:modified xsi:type="dcterms:W3CDTF">2014-11-04T07:51:00Z</dcterms:modified>
</cp:coreProperties>
</file>